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12BE1" w:rsidRPr="00533451" w:rsidRDefault="00112BE1" w:rsidP="00533451">
      <w:pPr>
        <w:ind w:firstLineChars="100" w:firstLine="320"/>
        <w:rPr>
          <w:rFonts w:ascii="仿宋_GB2312" w:eastAsia="仿宋_GB2312"/>
          <w:color w:val="000000"/>
          <w:sz w:val="32"/>
          <w:szCs w:val="32"/>
        </w:rPr>
      </w:pPr>
      <w:r w:rsidRPr="00EB2589">
        <w:rPr>
          <w:rFonts w:ascii="仿宋_GB2312" w:eastAsia="仿宋_GB2312" w:hint="eastAsia"/>
          <w:color w:val="000000"/>
          <w:sz w:val="32"/>
          <w:szCs w:val="32"/>
        </w:rPr>
        <w:t>附件4：</w:t>
      </w:r>
    </w:p>
    <w:p w:rsidR="00112BE1" w:rsidRDefault="00112BE1" w:rsidP="008B16AC">
      <w:pPr>
        <w:spacing w:beforeLines="100" w:line="600" w:lineRule="exact"/>
        <w:ind w:firstLineChars="100" w:firstLine="440"/>
        <w:jc w:val="center"/>
        <w:rPr>
          <w:rFonts w:ascii="方正小标宋简体" w:eastAsia="方正小标宋简体"/>
          <w:bCs/>
          <w:color w:val="000000"/>
          <w:sz w:val="44"/>
          <w:szCs w:val="44"/>
        </w:rPr>
      </w:pPr>
      <w:r w:rsidRPr="004C4148">
        <w:rPr>
          <w:rFonts w:ascii="方正小标宋简体" w:eastAsia="方正小标宋简体" w:hint="eastAsia"/>
          <w:bCs/>
          <w:color w:val="000000"/>
          <w:sz w:val="44"/>
          <w:szCs w:val="44"/>
        </w:rPr>
        <w:t>东营市勘察设计行业科技创新成果竞赛</w:t>
      </w:r>
    </w:p>
    <w:p w:rsidR="00112BE1" w:rsidRPr="004C4148" w:rsidRDefault="00112BE1" w:rsidP="00263136">
      <w:pPr>
        <w:spacing w:line="600" w:lineRule="exact"/>
        <w:ind w:firstLineChars="100" w:firstLine="440"/>
        <w:jc w:val="center"/>
        <w:rPr>
          <w:rFonts w:ascii="方正小标宋简体" w:eastAsia="方正小标宋简体"/>
          <w:bCs/>
          <w:color w:val="000000"/>
          <w:sz w:val="44"/>
          <w:szCs w:val="44"/>
        </w:rPr>
      </w:pPr>
      <w:r w:rsidRPr="004C4148">
        <w:rPr>
          <w:rFonts w:ascii="方正小标宋简体" w:eastAsia="方正小标宋简体" w:hint="eastAsia"/>
          <w:bCs/>
          <w:color w:val="000000"/>
          <w:sz w:val="44"/>
          <w:szCs w:val="44"/>
        </w:rPr>
        <w:t>评审细则</w:t>
      </w:r>
    </w:p>
    <w:p w:rsidR="00112BE1" w:rsidRPr="004C4148" w:rsidRDefault="00112BE1" w:rsidP="00112BE1">
      <w:pPr>
        <w:ind w:firstLineChars="100" w:firstLine="321"/>
        <w:rPr>
          <w:rFonts w:ascii="仿宋_GB2312" w:eastAsia="仿宋_GB2312"/>
          <w:b/>
          <w:bCs/>
          <w:color w:val="000000"/>
          <w:sz w:val="32"/>
          <w:szCs w:val="32"/>
        </w:rPr>
      </w:pPr>
    </w:p>
    <w:p w:rsidR="00112BE1" w:rsidRPr="004C4148" w:rsidRDefault="00112BE1" w:rsidP="0072436B">
      <w:pPr>
        <w:spacing w:line="560" w:lineRule="exact"/>
        <w:ind w:firstLineChars="200" w:firstLine="640"/>
        <w:rPr>
          <w:rFonts w:ascii="黑体" w:eastAsia="黑体" w:hAnsi="黑体"/>
          <w:color w:val="000000"/>
          <w:sz w:val="32"/>
          <w:szCs w:val="32"/>
        </w:rPr>
      </w:pPr>
      <w:r w:rsidRPr="004C4148">
        <w:rPr>
          <w:rFonts w:ascii="黑体" w:eastAsia="黑体" w:hAnsi="黑体" w:hint="eastAsia"/>
          <w:bCs/>
          <w:color w:val="000000"/>
          <w:sz w:val="32"/>
          <w:szCs w:val="32"/>
        </w:rPr>
        <w:t>一、成果申报条件细则</w:t>
      </w:r>
    </w:p>
    <w:p w:rsidR="00112BE1" w:rsidRPr="004C4148" w:rsidRDefault="00112BE1" w:rsidP="0072436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sidRPr="004C4148">
        <w:rPr>
          <w:rFonts w:ascii="仿宋_GB2312" w:eastAsia="仿宋_GB2312" w:hint="eastAsia"/>
          <w:color w:val="000000"/>
          <w:sz w:val="32"/>
          <w:szCs w:val="32"/>
        </w:rPr>
        <w:t>遵守国家法律、法规，符合国家、省、市科技政策，有利于促进市科技进步和经济、社会的协调发展；</w:t>
      </w:r>
    </w:p>
    <w:p w:rsidR="00112BE1" w:rsidRPr="004C4148" w:rsidRDefault="00112BE1" w:rsidP="0072436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Pr="004C4148">
        <w:rPr>
          <w:rFonts w:ascii="仿宋_GB2312" w:eastAsia="仿宋_GB2312" w:hint="eastAsia"/>
          <w:color w:val="000000"/>
          <w:sz w:val="32"/>
          <w:szCs w:val="32"/>
        </w:rPr>
        <w:t>申报的成果应为勘察设计行业领域相关成果；</w:t>
      </w:r>
    </w:p>
    <w:p w:rsidR="00112BE1" w:rsidRPr="004C4148" w:rsidRDefault="00112BE1" w:rsidP="0072436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sidRPr="004C4148">
        <w:rPr>
          <w:rFonts w:ascii="仿宋_GB2312" w:eastAsia="仿宋_GB2312" w:hint="eastAsia"/>
          <w:color w:val="000000"/>
          <w:sz w:val="32"/>
          <w:szCs w:val="32"/>
        </w:rPr>
        <w:t>申报单位及成果主要完成单位应为协会会员单位；</w:t>
      </w:r>
    </w:p>
    <w:p w:rsidR="00112BE1" w:rsidRDefault="00112BE1" w:rsidP="0072436B">
      <w:pPr>
        <w:spacing w:line="560" w:lineRule="exact"/>
        <w:ind w:firstLineChars="200" w:firstLine="640"/>
        <w:rPr>
          <w:rFonts w:ascii="仿宋_GB2312" w:eastAsia="仿宋_GB2312" w:hAnsi="宋体" w:cs="宋体"/>
          <w:kern w:val="0"/>
          <w:sz w:val="32"/>
          <w:szCs w:val="32"/>
        </w:rPr>
      </w:pPr>
      <w:r>
        <w:rPr>
          <w:rFonts w:ascii="仿宋_GB2312" w:eastAsia="仿宋_GB2312" w:hint="eastAsia"/>
          <w:color w:val="000000"/>
          <w:sz w:val="32"/>
          <w:szCs w:val="32"/>
        </w:rPr>
        <w:t>（四）</w:t>
      </w:r>
      <w:r w:rsidRPr="004C4148">
        <w:rPr>
          <w:rFonts w:ascii="仿宋_GB2312" w:eastAsia="仿宋_GB2312" w:hint="eastAsia"/>
          <w:color w:val="000000"/>
          <w:sz w:val="32"/>
          <w:szCs w:val="32"/>
        </w:rPr>
        <w:t>科研课题类成果包括技术开发类成果、社会公益类成果、软科学成果、系统平台研发等，成果应有结题验收报告或科技成果评价报告；技术发明类成果包括发明专利、实用新型专利、软件著作等应取得正式授权证书；论文著作类成果应正式见刊发表，论文第一作者单位应为会员单位，论文需发表在中文核心期刊（主要指北京大学图书馆中文核心期刊、南京大学中文社会科学引文索引来源期刊、中国科学技术信息研究所中国科技核心期刊，被SCI、EI收录的视同核心期刊论文）；著作、规范或标准应为正式出版物，且作为主编单位参与完成，具有创新性及应用推广价值的企业技术标准亦可。</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（五）成果应为近5年内完成的。</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（六）下列科技成果不得申报：</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1、涉及国防、国家安全保密事项的；</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2、已经获得过地市级及以上同类奖项的；</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3、仅依赖个人经验和技能、技巧又不可重复实现的技术；</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4、工程实施类工作总结等不具备行业引领、科技创新和促进</w:t>
      </w:r>
      <w:r w:rsidRPr="004C4148">
        <w:rPr>
          <w:rFonts w:ascii="仿宋_GB2312" w:eastAsia="仿宋_GB2312" w:hint="eastAsia"/>
          <w:color w:val="000000"/>
          <w:sz w:val="32"/>
          <w:szCs w:val="32"/>
        </w:rPr>
        <w:lastRenderedPageBreak/>
        <w:t>生产力发展的一般技术成果；</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5、知识产权有争议的。</w:t>
      </w:r>
    </w:p>
    <w:p w:rsidR="00112BE1" w:rsidRDefault="006739D6" w:rsidP="0072436B">
      <w:pPr>
        <w:spacing w:line="560" w:lineRule="exact"/>
        <w:ind w:firstLineChars="200" w:firstLine="640"/>
        <w:rPr>
          <w:rFonts w:ascii="黑体" w:eastAsia="黑体" w:hAnsi="黑体"/>
          <w:bCs/>
          <w:color w:val="000000"/>
          <w:sz w:val="32"/>
          <w:szCs w:val="32"/>
        </w:rPr>
      </w:pPr>
      <w:r w:rsidRPr="004C4148">
        <w:rPr>
          <w:rFonts w:ascii="黑体" w:eastAsia="黑体" w:hAnsi="黑体" w:hint="eastAsia"/>
          <w:bCs/>
          <w:color w:val="000000"/>
          <w:sz w:val="32"/>
          <w:szCs w:val="32"/>
        </w:rPr>
        <w:t>二、申报材料要求</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1、申报材料：《东营市科技创新成果竞赛申报书》，成果资料，相关附件证明材料。</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2、材料要求：申报材料一律为A4开本竖装，申报书、成果资料与附件证明材料合装成册，大小规格与申报书一致。成果资料提供盖公章的复印件，像著作、规范、标准等内容较多时，可提供主要内容页复印件。附件材料主要包括研究成果结题验收报告或科技成果评价报告、查新报告、应用证明等。申报材料包括电子文档与书面材料两部分，电子版申报书材料请发送至dykcsjxh@163.com，同时报送五份书面材料。</w:t>
      </w:r>
    </w:p>
    <w:p w:rsidR="006739D6" w:rsidRPr="004C4148" w:rsidRDefault="006739D6" w:rsidP="0072436B">
      <w:pPr>
        <w:spacing w:line="560" w:lineRule="exact"/>
        <w:ind w:firstLineChars="200" w:firstLine="640"/>
        <w:rPr>
          <w:rFonts w:ascii="黑体" w:eastAsia="黑体" w:hAnsi="黑体"/>
          <w:bCs/>
          <w:color w:val="000000"/>
          <w:sz w:val="32"/>
          <w:szCs w:val="32"/>
        </w:rPr>
      </w:pPr>
      <w:r w:rsidRPr="004C4148">
        <w:rPr>
          <w:rFonts w:ascii="黑体" w:eastAsia="黑体" w:hAnsi="黑体" w:hint="eastAsia"/>
          <w:bCs/>
          <w:color w:val="000000"/>
          <w:sz w:val="32"/>
          <w:szCs w:val="32"/>
        </w:rPr>
        <w:t>三、评审细则</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 xml:space="preserve">1、客观公正原则：对评价成果的客观事实情况进行公正地评审和评议。 </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2、定量定性原则：在定量评分基础上进行专家综合评议。</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3、分类评选原则：对科研课题类技术成果、技术发明类成果、论文著作类成果三种不同类型的科技成果进行分类评选。</w:t>
      </w:r>
    </w:p>
    <w:p w:rsidR="006739D6"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4、评审标准：根据科技创新成果技术难度、创新程度、技术水平、对工程技术进步的推动作用及其经济效益和社会效益等综合评定获奖等级，评审标准如下：</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一等奖：技术有显著创新，总体技术水平和主要技术经济指标达到国内先进水平，在工程中得到广泛应用或对工程技术进步具有显著的指导作用，并取得较显著的经济效益和社会效益；</w:t>
      </w:r>
    </w:p>
    <w:p w:rsidR="006739D6" w:rsidRPr="00EB2589" w:rsidRDefault="006739D6" w:rsidP="0072436B">
      <w:pPr>
        <w:spacing w:line="560" w:lineRule="exact"/>
        <w:ind w:firstLineChars="200" w:firstLine="632"/>
        <w:rPr>
          <w:rFonts w:ascii="仿宋_GB2312" w:eastAsia="仿宋_GB2312"/>
          <w:color w:val="000000"/>
          <w:spacing w:val="-2"/>
          <w:sz w:val="32"/>
          <w:szCs w:val="32"/>
        </w:rPr>
      </w:pPr>
      <w:r w:rsidRPr="00EB2589">
        <w:rPr>
          <w:rFonts w:ascii="仿宋_GB2312" w:eastAsia="仿宋_GB2312" w:hint="eastAsia"/>
          <w:color w:val="000000"/>
          <w:spacing w:val="-2"/>
          <w:sz w:val="32"/>
          <w:szCs w:val="32"/>
        </w:rPr>
        <w:t>二等奖：技术有较大创新，总体技术水平和主要技术经济指标</w:t>
      </w:r>
      <w:r w:rsidRPr="00EB2589">
        <w:rPr>
          <w:rFonts w:ascii="仿宋_GB2312" w:eastAsia="仿宋_GB2312" w:hint="eastAsia"/>
          <w:color w:val="000000"/>
          <w:spacing w:val="-2"/>
          <w:sz w:val="32"/>
          <w:szCs w:val="32"/>
        </w:rPr>
        <w:lastRenderedPageBreak/>
        <w:t>达到省内先进水平，在工程中得到较大范围的应用或对工程技术进步具有明显的指导作用，并取得较明显的经济效益和社会效益；</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三等奖：有一定技术创新，总体技术水平和主要技术经济指标达到市内先进水平，在工程中得到一定范围的应用或对工程技术进步具有较大的指导作用，并取得一定的经济效益和社会效益。</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5、评审专家组成：每个专业组的专家人数控制在5人或7人；从勘察设计专家库中选取，并采取回避原则（作为完成人时需回避）。</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6、评审流程：第一步：专业组成员对每一个参赛成果进行评议打分，取平均值为最终得分；第二步：按照得分高低排序，依照竞赛办法设定的比例推选出一等奖、二等奖、三等奖及淘汰名单；第三步：评审委员会对专业组初评提名进行评定，对参赛成果获奖等级进行投票表决，确定最终名单交由竞赛委员会审定。</w:t>
      </w:r>
    </w:p>
    <w:p w:rsidR="006739D6" w:rsidRPr="004C4148" w:rsidRDefault="006739D6" w:rsidP="0072436B">
      <w:pPr>
        <w:spacing w:line="560" w:lineRule="exact"/>
        <w:ind w:firstLineChars="200" w:firstLine="640"/>
        <w:rPr>
          <w:rFonts w:ascii="仿宋_GB2312" w:eastAsia="仿宋_GB2312"/>
          <w:color w:val="000000"/>
          <w:sz w:val="32"/>
          <w:szCs w:val="32"/>
        </w:rPr>
      </w:pPr>
      <w:r w:rsidRPr="004C4148">
        <w:rPr>
          <w:rFonts w:ascii="仿宋_GB2312" w:eastAsia="仿宋_GB2312" w:hint="eastAsia"/>
          <w:color w:val="000000"/>
          <w:sz w:val="32"/>
          <w:szCs w:val="32"/>
        </w:rPr>
        <w:t>原则上一等奖得分不低于85分，二等奖得分不低于75分，三等奖得分不低于65分。达不到评审等级标准的奖项可空缺。</w:t>
      </w:r>
    </w:p>
    <w:p w:rsidR="006739D6" w:rsidRDefault="006739D6" w:rsidP="0072436B">
      <w:pPr>
        <w:spacing w:line="560" w:lineRule="exact"/>
        <w:ind w:firstLineChars="200" w:firstLine="640"/>
        <w:rPr>
          <w:rFonts w:ascii="仿宋_GB2312" w:eastAsia="仿宋_GB2312" w:hAnsi="宋体" w:cs="宋体"/>
          <w:kern w:val="0"/>
          <w:sz w:val="32"/>
          <w:szCs w:val="32"/>
        </w:rPr>
      </w:pPr>
      <w:r w:rsidRPr="004C4148">
        <w:rPr>
          <w:rFonts w:ascii="仿宋_GB2312" w:eastAsia="仿宋_GB2312" w:hint="eastAsia"/>
          <w:color w:val="000000"/>
          <w:sz w:val="32"/>
          <w:szCs w:val="32"/>
        </w:rPr>
        <w:t>7、量化打分指标如下表：</w:t>
      </w:r>
    </w:p>
    <w:p w:rsidR="00112BE1" w:rsidRDefault="00112BE1" w:rsidP="00585D55">
      <w:pPr>
        <w:spacing w:line="540" w:lineRule="exact"/>
        <w:ind w:firstLineChars="1900" w:firstLine="5320"/>
        <w:rPr>
          <w:rFonts w:ascii="仿宋_GB2312" w:eastAsia="仿宋_GB2312"/>
          <w:sz w:val="28"/>
          <w:szCs w:val="28"/>
        </w:rPr>
      </w:pPr>
    </w:p>
    <w:p w:rsidR="00112BE1" w:rsidRDefault="00112BE1" w:rsidP="00585D55">
      <w:pPr>
        <w:spacing w:line="540" w:lineRule="exact"/>
        <w:ind w:firstLineChars="1900" w:firstLine="5320"/>
        <w:rPr>
          <w:rFonts w:ascii="仿宋_GB2312" w:eastAsia="仿宋_GB2312"/>
          <w:sz w:val="28"/>
          <w:szCs w:val="28"/>
        </w:rPr>
      </w:pPr>
    </w:p>
    <w:p w:rsidR="00112BE1" w:rsidRDefault="00112BE1" w:rsidP="00585D55">
      <w:pPr>
        <w:spacing w:line="540" w:lineRule="exact"/>
        <w:ind w:firstLineChars="1900" w:firstLine="5320"/>
        <w:rPr>
          <w:rFonts w:ascii="仿宋_GB2312" w:eastAsia="仿宋_GB2312"/>
          <w:sz w:val="28"/>
          <w:szCs w:val="28"/>
        </w:rPr>
      </w:pPr>
    </w:p>
    <w:p w:rsidR="00D579F9" w:rsidRDefault="00D579F9" w:rsidP="00585D55">
      <w:pPr>
        <w:spacing w:line="540" w:lineRule="exact"/>
        <w:ind w:firstLineChars="1900" w:firstLine="5320"/>
        <w:rPr>
          <w:rFonts w:ascii="仿宋_GB2312" w:eastAsia="仿宋_GB2312"/>
          <w:sz w:val="28"/>
          <w:szCs w:val="28"/>
        </w:rPr>
      </w:pPr>
    </w:p>
    <w:p w:rsidR="00112BE1" w:rsidRPr="00112BE1" w:rsidRDefault="00112BE1" w:rsidP="00585D55">
      <w:pPr>
        <w:spacing w:line="540" w:lineRule="exact"/>
        <w:ind w:firstLineChars="1900" w:firstLine="5320"/>
        <w:rPr>
          <w:rFonts w:ascii="仿宋_GB2312" w:eastAsia="仿宋_GB2312"/>
          <w:sz w:val="28"/>
          <w:szCs w:val="28"/>
        </w:rPr>
      </w:pPr>
    </w:p>
    <w:p w:rsidR="00D579F9" w:rsidRDefault="00D579F9" w:rsidP="00585D55">
      <w:pPr>
        <w:spacing w:line="540" w:lineRule="exact"/>
        <w:ind w:firstLineChars="1900" w:firstLine="5320"/>
        <w:rPr>
          <w:rFonts w:ascii="仿宋_GB2312" w:eastAsia="仿宋_GB2312"/>
          <w:sz w:val="28"/>
          <w:szCs w:val="28"/>
        </w:rPr>
      </w:pPr>
    </w:p>
    <w:p w:rsidR="00D579F9" w:rsidRDefault="00D579F9" w:rsidP="00585D55">
      <w:pPr>
        <w:spacing w:line="540" w:lineRule="exact"/>
        <w:ind w:firstLineChars="1900" w:firstLine="5320"/>
        <w:rPr>
          <w:rFonts w:ascii="仿宋_GB2312" w:eastAsia="仿宋_GB2312"/>
          <w:sz w:val="28"/>
          <w:szCs w:val="28"/>
        </w:rPr>
      </w:pPr>
    </w:p>
    <w:p w:rsidR="00585D55" w:rsidRDefault="00585D55" w:rsidP="00585D55">
      <w:pPr>
        <w:spacing w:line="540" w:lineRule="exact"/>
        <w:ind w:firstLineChars="1900" w:firstLine="5320"/>
        <w:rPr>
          <w:rFonts w:ascii="仿宋_GB2312" w:eastAsia="仿宋_GB2312"/>
          <w:sz w:val="28"/>
          <w:szCs w:val="28"/>
        </w:rPr>
      </w:pPr>
    </w:p>
    <w:p w:rsidR="00585D55" w:rsidRDefault="00585D55" w:rsidP="00585D55">
      <w:pPr>
        <w:spacing w:line="540" w:lineRule="exact"/>
        <w:ind w:firstLineChars="1900" w:firstLine="5320"/>
        <w:rPr>
          <w:rFonts w:ascii="仿宋_GB2312" w:eastAsia="仿宋_GB2312"/>
          <w:sz w:val="28"/>
          <w:szCs w:val="28"/>
        </w:rPr>
      </w:pPr>
    </w:p>
    <w:p w:rsidR="00EB2589" w:rsidRDefault="00EB2589" w:rsidP="00585D55">
      <w:pPr>
        <w:spacing w:line="540" w:lineRule="exact"/>
        <w:ind w:firstLineChars="1900" w:firstLine="5320"/>
        <w:rPr>
          <w:rFonts w:ascii="仿宋_GB2312" w:eastAsia="仿宋_GB2312"/>
          <w:sz w:val="28"/>
          <w:szCs w:val="28"/>
        </w:rPr>
        <w:sectPr w:rsidR="00EB2589" w:rsidSect="00112BE1">
          <w:footerReference w:type="even" r:id="rId8"/>
          <w:footerReference w:type="default" r:id="rId9"/>
          <w:pgSz w:w="11906" w:h="16838"/>
          <w:pgMar w:top="1361" w:right="1418" w:bottom="1134" w:left="1418" w:header="851" w:footer="992" w:gutter="0"/>
          <w:cols w:space="425"/>
          <w:docGrid w:linePitch="312"/>
        </w:sectPr>
      </w:pPr>
    </w:p>
    <w:tbl>
      <w:tblPr>
        <w:tblStyle w:val="a9"/>
        <w:tblW w:w="14892" w:type="dxa"/>
        <w:jc w:val="center"/>
        <w:tblInd w:w="-422" w:type="dxa"/>
        <w:tblLook w:val="04A0"/>
      </w:tblPr>
      <w:tblGrid>
        <w:gridCol w:w="1239"/>
        <w:gridCol w:w="1540"/>
        <w:gridCol w:w="4997"/>
        <w:gridCol w:w="817"/>
        <w:gridCol w:w="2072"/>
        <w:gridCol w:w="2113"/>
        <w:gridCol w:w="2114"/>
      </w:tblGrid>
      <w:tr w:rsidR="00EB2589" w:rsidRPr="006270AB" w:rsidTr="00A04101">
        <w:trPr>
          <w:trHeight w:val="383"/>
          <w:jc w:val="center"/>
        </w:trPr>
        <w:tc>
          <w:tcPr>
            <w:tcW w:w="2779" w:type="dxa"/>
            <w:gridSpan w:val="2"/>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lastRenderedPageBreak/>
              <w:t>量化评审指标</w:t>
            </w:r>
          </w:p>
        </w:tc>
        <w:tc>
          <w:tcPr>
            <w:tcW w:w="4997" w:type="dxa"/>
            <w:vMerge w:val="restart"/>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指标含义</w:t>
            </w:r>
          </w:p>
        </w:tc>
        <w:tc>
          <w:tcPr>
            <w:tcW w:w="817" w:type="dxa"/>
            <w:vMerge w:val="restart"/>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权重</w:t>
            </w:r>
          </w:p>
        </w:tc>
        <w:tc>
          <w:tcPr>
            <w:tcW w:w="2072" w:type="dxa"/>
            <w:vMerge w:val="restart"/>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100-90分</w:t>
            </w:r>
          </w:p>
        </w:tc>
        <w:tc>
          <w:tcPr>
            <w:tcW w:w="2113" w:type="dxa"/>
            <w:vMerge w:val="restart"/>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89-60分</w:t>
            </w:r>
          </w:p>
        </w:tc>
        <w:tc>
          <w:tcPr>
            <w:tcW w:w="2114" w:type="dxa"/>
            <w:vMerge w:val="restart"/>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59-0分</w:t>
            </w:r>
          </w:p>
        </w:tc>
      </w:tr>
      <w:tr w:rsidR="00EB2589" w:rsidRPr="006270AB" w:rsidTr="00A04101">
        <w:trPr>
          <w:trHeight w:val="379"/>
          <w:jc w:val="center"/>
        </w:trPr>
        <w:tc>
          <w:tcPr>
            <w:tcW w:w="1239"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一级指标</w:t>
            </w:r>
          </w:p>
        </w:tc>
        <w:tc>
          <w:tcPr>
            <w:tcW w:w="1540"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二级指标</w:t>
            </w:r>
          </w:p>
        </w:tc>
        <w:tc>
          <w:tcPr>
            <w:tcW w:w="4997" w:type="dxa"/>
            <w:vMerge/>
            <w:vAlign w:val="center"/>
          </w:tcPr>
          <w:p w:rsidR="00EB2589" w:rsidRPr="006270AB" w:rsidRDefault="00EB2589" w:rsidP="00EB2589">
            <w:pPr>
              <w:widowControl/>
              <w:spacing w:line="340" w:lineRule="exact"/>
              <w:jc w:val="center"/>
              <w:rPr>
                <w:rFonts w:ascii="宋体" w:hAnsi="宋体" w:cs="宋体"/>
                <w:kern w:val="0"/>
                <w:sz w:val="24"/>
                <w:szCs w:val="24"/>
              </w:rPr>
            </w:pPr>
          </w:p>
        </w:tc>
        <w:tc>
          <w:tcPr>
            <w:tcW w:w="817" w:type="dxa"/>
            <w:vMerge/>
            <w:vAlign w:val="center"/>
          </w:tcPr>
          <w:p w:rsidR="00EB2589" w:rsidRPr="006270AB" w:rsidRDefault="00EB2589" w:rsidP="00EB2589">
            <w:pPr>
              <w:widowControl/>
              <w:spacing w:line="340" w:lineRule="exact"/>
              <w:jc w:val="center"/>
              <w:rPr>
                <w:rFonts w:ascii="宋体" w:hAnsi="宋体" w:cs="宋体"/>
                <w:kern w:val="0"/>
                <w:sz w:val="24"/>
                <w:szCs w:val="24"/>
              </w:rPr>
            </w:pPr>
          </w:p>
        </w:tc>
        <w:tc>
          <w:tcPr>
            <w:tcW w:w="2072" w:type="dxa"/>
            <w:vMerge/>
            <w:vAlign w:val="center"/>
          </w:tcPr>
          <w:p w:rsidR="00EB2589" w:rsidRPr="006270AB" w:rsidRDefault="00EB2589" w:rsidP="00EB2589">
            <w:pPr>
              <w:widowControl/>
              <w:spacing w:line="340" w:lineRule="exact"/>
              <w:jc w:val="center"/>
              <w:rPr>
                <w:rFonts w:ascii="宋体" w:hAnsi="宋体" w:cs="宋体"/>
                <w:kern w:val="0"/>
                <w:sz w:val="24"/>
                <w:szCs w:val="24"/>
              </w:rPr>
            </w:pPr>
          </w:p>
        </w:tc>
        <w:tc>
          <w:tcPr>
            <w:tcW w:w="2113" w:type="dxa"/>
            <w:vMerge/>
            <w:vAlign w:val="center"/>
          </w:tcPr>
          <w:p w:rsidR="00EB2589" w:rsidRPr="006270AB" w:rsidRDefault="00EB2589" w:rsidP="00EB2589">
            <w:pPr>
              <w:widowControl/>
              <w:spacing w:line="340" w:lineRule="exact"/>
              <w:jc w:val="center"/>
              <w:rPr>
                <w:rFonts w:ascii="宋体" w:hAnsi="宋体" w:cs="宋体"/>
                <w:kern w:val="0"/>
                <w:sz w:val="24"/>
                <w:szCs w:val="24"/>
              </w:rPr>
            </w:pPr>
          </w:p>
        </w:tc>
        <w:tc>
          <w:tcPr>
            <w:tcW w:w="2114" w:type="dxa"/>
            <w:vMerge/>
            <w:vAlign w:val="center"/>
          </w:tcPr>
          <w:p w:rsidR="00EB2589" w:rsidRPr="006270AB" w:rsidRDefault="00EB2589" w:rsidP="00EB2589">
            <w:pPr>
              <w:widowControl/>
              <w:spacing w:line="340" w:lineRule="exact"/>
              <w:jc w:val="center"/>
              <w:rPr>
                <w:rFonts w:ascii="宋体" w:hAnsi="宋体" w:cs="宋体"/>
                <w:kern w:val="0"/>
                <w:sz w:val="24"/>
                <w:szCs w:val="24"/>
              </w:rPr>
            </w:pPr>
          </w:p>
        </w:tc>
      </w:tr>
      <w:tr w:rsidR="00EB2589" w:rsidRPr="006270AB" w:rsidTr="00A04101">
        <w:trPr>
          <w:jc w:val="center"/>
        </w:trPr>
        <w:tc>
          <w:tcPr>
            <w:tcW w:w="1239" w:type="dxa"/>
            <w:vMerge w:val="restart"/>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技术水平</w:t>
            </w:r>
          </w:p>
        </w:tc>
        <w:tc>
          <w:tcPr>
            <w:tcW w:w="1540"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技术创新度</w:t>
            </w:r>
          </w:p>
        </w:tc>
        <w:tc>
          <w:tcPr>
            <w:tcW w:w="4997"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在技术开发中解决关键技术难题并取得技术突破，掌握核心技术并进行集成创新的程度，自主创新技术在总体技术中的比重。</w:t>
            </w:r>
          </w:p>
        </w:tc>
        <w:tc>
          <w:tcPr>
            <w:tcW w:w="817"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25</w:t>
            </w:r>
          </w:p>
        </w:tc>
        <w:tc>
          <w:tcPr>
            <w:tcW w:w="2072"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有显著突破或创新，且完全自主创新</w:t>
            </w:r>
          </w:p>
        </w:tc>
        <w:tc>
          <w:tcPr>
            <w:tcW w:w="2113"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有较大突破或创新，多项技术自主创新</w:t>
            </w:r>
          </w:p>
        </w:tc>
        <w:tc>
          <w:tcPr>
            <w:tcW w:w="2114"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创新程度一般，单项技术自主创新</w:t>
            </w:r>
          </w:p>
        </w:tc>
      </w:tr>
      <w:tr w:rsidR="00EB2589" w:rsidRPr="006270AB" w:rsidTr="00A04101">
        <w:trPr>
          <w:jc w:val="center"/>
        </w:trPr>
        <w:tc>
          <w:tcPr>
            <w:tcW w:w="1239" w:type="dxa"/>
            <w:vMerge/>
            <w:vAlign w:val="center"/>
          </w:tcPr>
          <w:p w:rsidR="00EB2589" w:rsidRPr="006270AB" w:rsidRDefault="00EB2589" w:rsidP="00EB2589">
            <w:pPr>
              <w:widowControl/>
              <w:spacing w:line="340" w:lineRule="exact"/>
              <w:jc w:val="center"/>
              <w:rPr>
                <w:rFonts w:ascii="宋体" w:hAnsi="宋体" w:cs="宋体"/>
                <w:kern w:val="0"/>
                <w:sz w:val="24"/>
                <w:szCs w:val="24"/>
              </w:rPr>
            </w:pPr>
          </w:p>
        </w:tc>
        <w:tc>
          <w:tcPr>
            <w:tcW w:w="1540"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技术经济指标的先进程度</w:t>
            </w:r>
          </w:p>
        </w:tc>
        <w:tc>
          <w:tcPr>
            <w:tcW w:w="4997"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与国内外最先进技术相比其总体技术水平、主要技术（性能、性状、工艺参数等）、经济（投入产出比、性能价格比、成本、规模等）、环境、生态等指标所处的位置。</w:t>
            </w:r>
          </w:p>
        </w:tc>
        <w:tc>
          <w:tcPr>
            <w:tcW w:w="817"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20</w:t>
            </w:r>
          </w:p>
        </w:tc>
        <w:tc>
          <w:tcPr>
            <w:tcW w:w="2072"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达到同类技术领先水平</w:t>
            </w:r>
          </w:p>
        </w:tc>
        <w:tc>
          <w:tcPr>
            <w:tcW w:w="2113"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达到同类技术先进水平</w:t>
            </w:r>
          </w:p>
        </w:tc>
        <w:tc>
          <w:tcPr>
            <w:tcW w:w="2114"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接近同类技术先进水平</w:t>
            </w:r>
          </w:p>
        </w:tc>
      </w:tr>
      <w:tr w:rsidR="00EB2589" w:rsidRPr="006270AB" w:rsidTr="00A04101">
        <w:trPr>
          <w:jc w:val="center"/>
        </w:trPr>
        <w:tc>
          <w:tcPr>
            <w:tcW w:w="1239" w:type="dxa"/>
            <w:vMerge/>
            <w:vAlign w:val="center"/>
          </w:tcPr>
          <w:p w:rsidR="00EB2589" w:rsidRPr="006270AB" w:rsidRDefault="00EB2589" w:rsidP="00EB2589">
            <w:pPr>
              <w:widowControl/>
              <w:spacing w:line="340" w:lineRule="exact"/>
              <w:jc w:val="center"/>
              <w:rPr>
                <w:rFonts w:ascii="宋体" w:hAnsi="宋体" w:cs="宋体"/>
                <w:kern w:val="0"/>
                <w:sz w:val="24"/>
                <w:szCs w:val="24"/>
              </w:rPr>
            </w:pPr>
          </w:p>
        </w:tc>
        <w:tc>
          <w:tcPr>
            <w:tcW w:w="1540"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技术难度和复杂程度</w:t>
            </w:r>
          </w:p>
        </w:tc>
        <w:tc>
          <w:tcPr>
            <w:tcW w:w="4997"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指技术实现对理论、模型、算法及其它技术的依赖程度，以及与现有技术相比较超越程度。</w:t>
            </w:r>
          </w:p>
        </w:tc>
        <w:tc>
          <w:tcPr>
            <w:tcW w:w="817"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10</w:t>
            </w:r>
          </w:p>
        </w:tc>
        <w:tc>
          <w:tcPr>
            <w:tcW w:w="2072"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在自创的理论、模型等支撑下的技术实现</w:t>
            </w:r>
          </w:p>
        </w:tc>
        <w:tc>
          <w:tcPr>
            <w:tcW w:w="2113"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引入跨领域的技术得以实现</w:t>
            </w:r>
          </w:p>
        </w:tc>
        <w:tc>
          <w:tcPr>
            <w:tcW w:w="2114"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在现有技术上的改进</w:t>
            </w:r>
          </w:p>
        </w:tc>
      </w:tr>
      <w:tr w:rsidR="00EB2589" w:rsidRPr="006270AB" w:rsidTr="00A04101">
        <w:trPr>
          <w:jc w:val="center"/>
        </w:trPr>
        <w:tc>
          <w:tcPr>
            <w:tcW w:w="1239" w:type="dxa"/>
            <w:vMerge/>
            <w:vAlign w:val="center"/>
          </w:tcPr>
          <w:p w:rsidR="00EB2589" w:rsidRPr="006270AB" w:rsidRDefault="00EB2589" w:rsidP="00EB2589">
            <w:pPr>
              <w:widowControl/>
              <w:spacing w:line="340" w:lineRule="exact"/>
              <w:jc w:val="center"/>
              <w:rPr>
                <w:rFonts w:ascii="宋体" w:hAnsi="宋体" w:cs="宋体"/>
                <w:kern w:val="0"/>
                <w:sz w:val="24"/>
                <w:szCs w:val="24"/>
              </w:rPr>
            </w:pPr>
          </w:p>
        </w:tc>
        <w:tc>
          <w:tcPr>
            <w:tcW w:w="1540"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技术成熟度</w:t>
            </w:r>
          </w:p>
        </w:tc>
        <w:tc>
          <w:tcPr>
            <w:tcW w:w="4997"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该技术已经形成生产能力或达到实际应用的程度，包括技术的稳定、可靠性等。</w:t>
            </w:r>
          </w:p>
        </w:tc>
        <w:tc>
          <w:tcPr>
            <w:tcW w:w="817"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15</w:t>
            </w:r>
          </w:p>
        </w:tc>
        <w:tc>
          <w:tcPr>
            <w:tcW w:w="2072"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已实现规模化生产，成果的转化程度高</w:t>
            </w:r>
          </w:p>
        </w:tc>
        <w:tc>
          <w:tcPr>
            <w:tcW w:w="2113"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已实际生产，成果转化程度较高</w:t>
            </w:r>
          </w:p>
        </w:tc>
        <w:tc>
          <w:tcPr>
            <w:tcW w:w="2114"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技术基本成熟完备</w:t>
            </w:r>
          </w:p>
        </w:tc>
      </w:tr>
      <w:tr w:rsidR="00EB2589" w:rsidRPr="006270AB" w:rsidTr="00A04101">
        <w:trPr>
          <w:jc w:val="center"/>
        </w:trPr>
        <w:tc>
          <w:tcPr>
            <w:tcW w:w="1239" w:type="dxa"/>
            <w:vMerge w:val="restart"/>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效益作用</w:t>
            </w:r>
          </w:p>
        </w:tc>
        <w:tc>
          <w:tcPr>
            <w:tcW w:w="1540"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经济效益</w:t>
            </w:r>
          </w:p>
        </w:tc>
        <w:tc>
          <w:tcPr>
            <w:tcW w:w="4997" w:type="dxa"/>
            <w:vAlign w:val="center"/>
          </w:tcPr>
          <w:p w:rsidR="00EB2589" w:rsidRPr="006270AB" w:rsidRDefault="00EB2589" w:rsidP="00EB2589">
            <w:pPr>
              <w:widowControl/>
              <w:spacing w:line="340" w:lineRule="exact"/>
              <w:jc w:val="left"/>
              <w:rPr>
                <w:rFonts w:ascii="宋体" w:hAnsi="宋体" w:cs="宋体"/>
                <w:kern w:val="0"/>
                <w:sz w:val="24"/>
                <w:szCs w:val="24"/>
              </w:rPr>
            </w:pPr>
            <w:r>
              <w:rPr>
                <w:rFonts w:ascii="宋体" w:hAnsi="宋体" w:cs="宋体" w:hint="eastAsia"/>
                <w:kern w:val="0"/>
                <w:sz w:val="24"/>
                <w:szCs w:val="24"/>
              </w:rPr>
              <w:t>直</w:t>
            </w:r>
            <w:r w:rsidRPr="006270AB">
              <w:rPr>
                <w:rFonts w:ascii="宋体" w:hAnsi="宋体" w:cs="宋体" w:hint="eastAsia"/>
                <w:kern w:val="0"/>
                <w:sz w:val="24"/>
                <w:szCs w:val="24"/>
              </w:rPr>
              <w:t>接经济效益和间接经济效益，包括主要完成单位已经通过技术转让、增收节支、提高效益、降低成本获得的新增利润、税收的金额及他人由于使用该项技术而产生的经济效益。</w:t>
            </w:r>
          </w:p>
        </w:tc>
        <w:tc>
          <w:tcPr>
            <w:tcW w:w="817"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10</w:t>
            </w:r>
          </w:p>
        </w:tc>
        <w:tc>
          <w:tcPr>
            <w:tcW w:w="2072"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经济效益显著</w:t>
            </w:r>
          </w:p>
        </w:tc>
        <w:tc>
          <w:tcPr>
            <w:tcW w:w="2113"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经济效益明显</w:t>
            </w:r>
          </w:p>
        </w:tc>
        <w:tc>
          <w:tcPr>
            <w:tcW w:w="2114"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经济效益一般</w:t>
            </w:r>
          </w:p>
        </w:tc>
      </w:tr>
      <w:tr w:rsidR="00EB2589" w:rsidRPr="006270AB" w:rsidTr="00A04101">
        <w:trPr>
          <w:jc w:val="center"/>
        </w:trPr>
        <w:tc>
          <w:tcPr>
            <w:tcW w:w="1239" w:type="dxa"/>
            <w:vMerge/>
            <w:vAlign w:val="center"/>
          </w:tcPr>
          <w:p w:rsidR="00EB2589" w:rsidRPr="006270AB" w:rsidRDefault="00EB2589" w:rsidP="00EB2589">
            <w:pPr>
              <w:widowControl/>
              <w:spacing w:line="340" w:lineRule="exact"/>
              <w:jc w:val="center"/>
              <w:rPr>
                <w:rFonts w:ascii="宋体" w:hAnsi="宋体" w:cs="宋体"/>
                <w:kern w:val="0"/>
                <w:sz w:val="24"/>
                <w:szCs w:val="24"/>
              </w:rPr>
            </w:pPr>
          </w:p>
        </w:tc>
        <w:tc>
          <w:tcPr>
            <w:tcW w:w="1540"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技术创新对推动科技进步和提高市场竞争能力的作用</w:t>
            </w:r>
          </w:p>
        </w:tc>
        <w:tc>
          <w:tcPr>
            <w:tcW w:w="4997"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指自主研发的关键技术对解决行业、区域发展的重点、难点和关键问题，推动产业结构调整和优化升级，提高企业和相关行业竞争能力，实现行业技术跨越和技术进步的作用和市场竞争中发挥作用的情况。</w:t>
            </w:r>
          </w:p>
        </w:tc>
        <w:tc>
          <w:tcPr>
            <w:tcW w:w="817"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10</w:t>
            </w:r>
          </w:p>
        </w:tc>
        <w:tc>
          <w:tcPr>
            <w:tcW w:w="2072"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显著促进行业科技进步，市场需求度高，具有国内市场竞争优势</w:t>
            </w:r>
          </w:p>
        </w:tc>
        <w:tc>
          <w:tcPr>
            <w:tcW w:w="2113"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促进行业科技进步作用明显，市场需求度高，具有省内市场竞争优势</w:t>
            </w:r>
          </w:p>
        </w:tc>
        <w:tc>
          <w:tcPr>
            <w:tcW w:w="2114"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对行业推动作用一般，具有一定市场竞争优势</w:t>
            </w:r>
          </w:p>
        </w:tc>
      </w:tr>
      <w:tr w:rsidR="00EB2589" w:rsidRPr="006270AB" w:rsidTr="00A04101">
        <w:trPr>
          <w:trHeight w:val="798"/>
          <w:jc w:val="center"/>
        </w:trPr>
        <w:tc>
          <w:tcPr>
            <w:tcW w:w="1239"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推广前景</w:t>
            </w:r>
          </w:p>
        </w:tc>
        <w:tc>
          <w:tcPr>
            <w:tcW w:w="1540"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推广应用程度</w:t>
            </w:r>
          </w:p>
        </w:tc>
        <w:tc>
          <w:tcPr>
            <w:tcW w:w="4997" w:type="dxa"/>
            <w:vAlign w:val="center"/>
          </w:tcPr>
          <w:p w:rsidR="00EB2589" w:rsidRPr="006270AB" w:rsidRDefault="00EB2589" w:rsidP="00EB2589">
            <w:pPr>
              <w:widowControl/>
              <w:spacing w:line="340" w:lineRule="exact"/>
              <w:jc w:val="left"/>
              <w:rPr>
                <w:rFonts w:ascii="宋体" w:hAnsi="宋体" w:cs="宋体"/>
                <w:kern w:val="0"/>
                <w:sz w:val="24"/>
                <w:szCs w:val="24"/>
              </w:rPr>
            </w:pPr>
            <w:r w:rsidRPr="006270AB">
              <w:rPr>
                <w:rFonts w:ascii="宋体" w:hAnsi="宋体" w:cs="宋体" w:hint="eastAsia"/>
                <w:kern w:val="0"/>
                <w:sz w:val="24"/>
                <w:szCs w:val="24"/>
              </w:rPr>
              <w:t>项目的实用性、适用性和已经推广应用的范围。</w:t>
            </w:r>
          </w:p>
        </w:tc>
        <w:tc>
          <w:tcPr>
            <w:tcW w:w="817"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10</w:t>
            </w:r>
          </w:p>
        </w:tc>
        <w:tc>
          <w:tcPr>
            <w:tcW w:w="2072"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实用性很强，已广泛应用</w:t>
            </w:r>
          </w:p>
        </w:tc>
        <w:tc>
          <w:tcPr>
            <w:tcW w:w="2113"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实用性较强，已在较大范围内应用</w:t>
            </w:r>
          </w:p>
        </w:tc>
        <w:tc>
          <w:tcPr>
            <w:tcW w:w="2114" w:type="dxa"/>
            <w:vAlign w:val="center"/>
          </w:tcPr>
          <w:p w:rsidR="00EB2589" w:rsidRPr="006270AB" w:rsidRDefault="00EB2589" w:rsidP="00EB2589">
            <w:pPr>
              <w:widowControl/>
              <w:spacing w:line="340" w:lineRule="exact"/>
              <w:jc w:val="center"/>
              <w:rPr>
                <w:rFonts w:ascii="宋体" w:hAnsi="宋体" w:cs="宋体"/>
                <w:kern w:val="0"/>
                <w:sz w:val="24"/>
                <w:szCs w:val="24"/>
              </w:rPr>
            </w:pPr>
            <w:r w:rsidRPr="006270AB">
              <w:rPr>
                <w:rFonts w:ascii="宋体" w:hAnsi="宋体" w:cs="宋体" w:hint="eastAsia"/>
                <w:kern w:val="0"/>
                <w:sz w:val="24"/>
                <w:szCs w:val="24"/>
              </w:rPr>
              <w:t>实用性一般，已部分应用</w:t>
            </w:r>
          </w:p>
        </w:tc>
      </w:tr>
    </w:tbl>
    <w:p w:rsidR="00585D55" w:rsidRPr="00A92741" w:rsidRDefault="00585D55" w:rsidP="00041711">
      <w:pPr>
        <w:spacing w:line="20" w:lineRule="exact"/>
        <w:rPr>
          <w:rFonts w:ascii="仿宋_GB2312" w:eastAsia="仿宋_GB2312"/>
          <w:sz w:val="32"/>
          <w:szCs w:val="32"/>
        </w:rPr>
      </w:pPr>
    </w:p>
    <w:sectPr w:rsidR="00585D55" w:rsidRPr="00A92741" w:rsidSect="00041711">
      <w:pgSz w:w="16838" w:h="11906" w:orient="landscape"/>
      <w:pgMar w:top="1134" w:right="1134" w:bottom="851"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98F" w:rsidRDefault="00C3198F">
      <w:r>
        <w:separator/>
      </w:r>
    </w:p>
  </w:endnote>
  <w:endnote w:type="continuationSeparator" w:id="1">
    <w:p w:rsidR="00C3198F" w:rsidRDefault="00C3198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17569"/>
    </w:sdtPr>
    <w:sdtEndPr>
      <w:rPr>
        <w:rFonts w:ascii="宋体" w:eastAsia="宋体" w:hAnsi="宋体"/>
        <w:sz w:val="28"/>
        <w:szCs w:val="28"/>
      </w:rPr>
    </w:sdtEndPr>
    <w:sdtContent>
      <w:p w:rsidR="00AD7B82" w:rsidRDefault="00AD7B82">
        <w:pPr>
          <w:pStyle w:val="a4"/>
          <w:ind w:firstLineChars="100" w:firstLine="180"/>
          <w:rPr>
            <w:rFonts w:ascii="宋体" w:eastAsia="宋体" w:hAnsi="宋体"/>
            <w:sz w:val="28"/>
            <w:szCs w:val="28"/>
          </w:rPr>
        </w:pPr>
        <w:r>
          <w:rPr>
            <w:rFonts w:ascii="宋体" w:eastAsia="宋体" w:hAnsi="宋体"/>
            <w:sz w:val="28"/>
            <w:szCs w:val="28"/>
          </w:rPr>
          <w:t xml:space="preserve">— </w:t>
        </w:r>
        <w:r w:rsidR="007B5AB6">
          <w:rPr>
            <w:rFonts w:ascii="宋体" w:eastAsia="宋体" w:hAnsi="宋体"/>
            <w:sz w:val="28"/>
            <w:szCs w:val="28"/>
          </w:rPr>
          <w:fldChar w:fldCharType="begin"/>
        </w:r>
        <w:r>
          <w:rPr>
            <w:rFonts w:ascii="宋体" w:eastAsia="宋体" w:hAnsi="宋体"/>
            <w:sz w:val="28"/>
            <w:szCs w:val="28"/>
          </w:rPr>
          <w:instrText>PAGE   \* MERGEFORMAT</w:instrText>
        </w:r>
        <w:r w:rsidR="007B5AB6">
          <w:rPr>
            <w:rFonts w:ascii="宋体" w:eastAsia="宋体" w:hAnsi="宋体"/>
            <w:sz w:val="28"/>
            <w:szCs w:val="28"/>
          </w:rPr>
          <w:fldChar w:fldCharType="separate"/>
        </w:r>
        <w:r w:rsidR="00041711" w:rsidRPr="00041711">
          <w:rPr>
            <w:rFonts w:ascii="宋体" w:eastAsia="宋体" w:hAnsi="宋体"/>
            <w:noProof/>
            <w:sz w:val="28"/>
            <w:szCs w:val="28"/>
            <w:lang w:val="zh-CN"/>
          </w:rPr>
          <w:t>2</w:t>
        </w:r>
        <w:r w:rsidR="007B5AB6">
          <w:rPr>
            <w:rFonts w:ascii="宋体" w:eastAsia="宋体" w:hAnsi="宋体"/>
            <w:sz w:val="28"/>
            <w:szCs w:val="28"/>
          </w:rPr>
          <w:fldChar w:fldCharType="end"/>
        </w:r>
        <w:r>
          <w:rPr>
            <w:rFonts w:ascii="宋体" w:eastAsia="宋体" w:hAnsi="宋体"/>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958012"/>
    </w:sdtPr>
    <w:sdtEndPr>
      <w:rPr>
        <w:rFonts w:ascii="宋体" w:eastAsia="宋体" w:hAnsi="宋体"/>
        <w:sz w:val="28"/>
        <w:szCs w:val="28"/>
      </w:rPr>
    </w:sdtEndPr>
    <w:sdtContent>
      <w:p w:rsidR="00AD7B82" w:rsidRDefault="00AD7B82">
        <w:pPr>
          <w:pStyle w:val="a4"/>
          <w:jc w:val="right"/>
          <w:rPr>
            <w:rFonts w:ascii="宋体" w:eastAsia="宋体" w:hAnsi="宋体"/>
            <w:sz w:val="28"/>
            <w:szCs w:val="28"/>
          </w:rPr>
        </w:pPr>
        <w:r>
          <w:rPr>
            <w:rFonts w:ascii="宋体" w:eastAsia="宋体" w:hAnsi="宋体"/>
            <w:sz w:val="28"/>
            <w:szCs w:val="28"/>
          </w:rPr>
          <w:t xml:space="preserve">— </w:t>
        </w:r>
        <w:r w:rsidR="007B5AB6">
          <w:rPr>
            <w:rFonts w:ascii="宋体" w:eastAsia="宋体" w:hAnsi="宋体"/>
            <w:sz w:val="28"/>
            <w:szCs w:val="28"/>
          </w:rPr>
          <w:fldChar w:fldCharType="begin"/>
        </w:r>
        <w:r>
          <w:rPr>
            <w:rFonts w:ascii="宋体" w:eastAsia="宋体" w:hAnsi="宋体"/>
            <w:sz w:val="28"/>
            <w:szCs w:val="28"/>
          </w:rPr>
          <w:instrText>PAGE   \* MERGEFORMAT</w:instrText>
        </w:r>
        <w:r w:rsidR="007B5AB6">
          <w:rPr>
            <w:rFonts w:ascii="宋体" w:eastAsia="宋体" w:hAnsi="宋体"/>
            <w:sz w:val="28"/>
            <w:szCs w:val="28"/>
          </w:rPr>
          <w:fldChar w:fldCharType="separate"/>
        </w:r>
        <w:r w:rsidR="00041711" w:rsidRPr="00041711">
          <w:rPr>
            <w:rFonts w:ascii="宋体" w:eastAsia="宋体" w:hAnsi="宋体"/>
            <w:noProof/>
            <w:sz w:val="28"/>
            <w:szCs w:val="28"/>
            <w:lang w:val="zh-CN"/>
          </w:rPr>
          <w:t>1</w:t>
        </w:r>
        <w:r w:rsidR="007B5AB6">
          <w:rPr>
            <w:rFonts w:ascii="宋体" w:eastAsia="宋体" w:hAnsi="宋体"/>
            <w:sz w:val="28"/>
            <w:szCs w:val="28"/>
          </w:rPr>
          <w:fldChar w:fldCharType="end"/>
        </w:r>
        <w:r>
          <w:rPr>
            <w:rFonts w:ascii="宋体" w:eastAsia="宋体" w:hAnsi="宋体"/>
            <w:sz w:val="28"/>
            <w:szCs w:val="28"/>
          </w:rPr>
          <w:t xml:space="preserve"> —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98F" w:rsidRDefault="00C3198F">
      <w:r>
        <w:separator/>
      </w:r>
    </w:p>
  </w:footnote>
  <w:footnote w:type="continuationSeparator" w:id="1">
    <w:p w:rsidR="00C3198F" w:rsidRDefault="00C31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10A6"/>
    <w:rsid w:val="00010C87"/>
    <w:rsid w:val="00041711"/>
    <w:rsid w:val="000573E2"/>
    <w:rsid w:val="00062548"/>
    <w:rsid w:val="000660EA"/>
    <w:rsid w:val="00086FCD"/>
    <w:rsid w:val="00090428"/>
    <w:rsid w:val="000A4057"/>
    <w:rsid w:val="000B2ACF"/>
    <w:rsid w:val="000B3E66"/>
    <w:rsid w:val="000D6CB6"/>
    <w:rsid w:val="000F44A9"/>
    <w:rsid w:val="00112BE1"/>
    <w:rsid w:val="00120939"/>
    <w:rsid w:val="001229FC"/>
    <w:rsid w:val="001237AD"/>
    <w:rsid w:val="001348AB"/>
    <w:rsid w:val="00134CF1"/>
    <w:rsid w:val="00135205"/>
    <w:rsid w:val="00137665"/>
    <w:rsid w:val="00143E23"/>
    <w:rsid w:val="00163FB9"/>
    <w:rsid w:val="00164BE1"/>
    <w:rsid w:val="00170752"/>
    <w:rsid w:val="001761C1"/>
    <w:rsid w:val="001802A2"/>
    <w:rsid w:val="00181448"/>
    <w:rsid w:val="00187513"/>
    <w:rsid w:val="001911DC"/>
    <w:rsid w:val="001966FC"/>
    <w:rsid w:val="00197919"/>
    <w:rsid w:val="001A2558"/>
    <w:rsid w:val="001B16F2"/>
    <w:rsid w:val="001B6E52"/>
    <w:rsid w:val="001C5E29"/>
    <w:rsid w:val="001D457F"/>
    <w:rsid w:val="001D7F12"/>
    <w:rsid w:val="001E58D9"/>
    <w:rsid w:val="001F22E0"/>
    <w:rsid w:val="001F769C"/>
    <w:rsid w:val="002030BF"/>
    <w:rsid w:val="00204A0C"/>
    <w:rsid w:val="00205854"/>
    <w:rsid w:val="00244183"/>
    <w:rsid w:val="0025484D"/>
    <w:rsid w:val="00263136"/>
    <w:rsid w:val="00264657"/>
    <w:rsid w:val="002A2D2D"/>
    <w:rsid w:val="002B181D"/>
    <w:rsid w:val="002C743A"/>
    <w:rsid w:val="002E1411"/>
    <w:rsid w:val="002E317D"/>
    <w:rsid w:val="002F7934"/>
    <w:rsid w:val="00300861"/>
    <w:rsid w:val="00301D1B"/>
    <w:rsid w:val="00325723"/>
    <w:rsid w:val="003400B9"/>
    <w:rsid w:val="0035561F"/>
    <w:rsid w:val="00363B18"/>
    <w:rsid w:val="00364363"/>
    <w:rsid w:val="0038290C"/>
    <w:rsid w:val="003958ED"/>
    <w:rsid w:val="003B06C1"/>
    <w:rsid w:val="003B26C7"/>
    <w:rsid w:val="003B35B3"/>
    <w:rsid w:val="003B42DB"/>
    <w:rsid w:val="003C1031"/>
    <w:rsid w:val="003D29F1"/>
    <w:rsid w:val="003E52BB"/>
    <w:rsid w:val="003F03A3"/>
    <w:rsid w:val="004031CA"/>
    <w:rsid w:val="00415A86"/>
    <w:rsid w:val="00417046"/>
    <w:rsid w:val="004212B3"/>
    <w:rsid w:val="00421D2F"/>
    <w:rsid w:val="004245F4"/>
    <w:rsid w:val="00426D52"/>
    <w:rsid w:val="004334F3"/>
    <w:rsid w:val="00436C31"/>
    <w:rsid w:val="0044291D"/>
    <w:rsid w:val="0044454B"/>
    <w:rsid w:val="00444EE1"/>
    <w:rsid w:val="00445A2B"/>
    <w:rsid w:val="00455458"/>
    <w:rsid w:val="00481782"/>
    <w:rsid w:val="004B0070"/>
    <w:rsid w:val="004B726B"/>
    <w:rsid w:val="004B7E71"/>
    <w:rsid w:val="004D0521"/>
    <w:rsid w:val="004D2071"/>
    <w:rsid w:val="004F2CDE"/>
    <w:rsid w:val="004F4C82"/>
    <w:rsid w:val="00503789"/>
    <w:rsid w:val="005040F2"/>
    <w:rsid w:val="0050454A"/>
    <w:rsid w:val="00524DB7"/>
    <w:rsid w:val="00533451"/>
    <w:rsid w:val="005412B5"/>
    <w:rsid w:val="00554B4D"/>
    <w:rsid w:val="00556787"/>
    <w:rsid w:val="00556C4A"/>
    <w:rsid w:val="0055710C"/>
    <w:rsid w:val="00557C4E"/>
    <w:rsid w:val="00564262"/>
    <w:rsid w:val="00567B5E"/>
    <w:rsid w:val="005720A7"/>
    <w:rsid w:val="00581FDA"/>
    <w:rsid w:val="00585D55"/>
    <w:rsid w:val="005861C2"/>
    <w:rsid w:val="00594106"/>
    <w:rsid w:val="005A0E7C"/>
    <w:rsid w:val="005A39EE"/>
    <w:rsid w:val="005A472E"/>
    <w:rsid w:val="005E1002"/>
    <w:rsid w:val="005E64DD"/>
    <w:rsid w:val="005E70C3"/>
    <w:rsid w:val="005F3E34"/>
    <w:rsid w:val="00603779"/>
    <w:rsid w:val="00604C8A"/>
    <w:rsid w:val="006128CB"/>
    <w:rsid w:val="0061432F"/>
    <w:rsid w:val="00621FD6"/>
    <w:rsid w:val="00647BA5"/>
    <w:rsid w:val="00672EB7"/>
    <w:rsid w:val="006739D6"/>
    <w:rsid w:val="006A0795"/>
    <w:rsid w:val="006D6597"/>
    <w:rsid w:val="006D6AC4"/>
    <w:rsid w:val="006D7AED"/>
    <w:rsid w:val="006E4E83"/>
    <w:rsid w:val="006E5E0C"/>
    <w:rsid w:val="00703609"/>
    <w:rsid w:val="00715623"/>
    <w:rsid w:val="00716816"/>
    <w:rsid w:val="0072436B"/>
    <w:rsid w:val="0073141F"/>
    <w:rsid w:val="0073635E"/>
    <w:rsid w:val="007367E3"/>
    <w:rsid w:val="007505B6"/>
    <w:rsid w:val="00755017"/>
    <w:rsid w:val="00762354"/>
    <w:rsid w:val="00765036"/>
    <w:rsid w:val="0076771D"/>
    <w:rsid w:val="007707CB"/>
    <w:rsid w:val="00770E6D"/>
    <w:rsid w:val="00771271"/>
    <w:rsid w:val="00787972"/>
    <w:rsid w:val="00794416"/>
    <w:rsid w:val="00795271"/>
    <w:rsid w:val="007B19DB"/>
    <w:rsid w:val="007B5AB6"/>
    <w:rsid w:val="007C3080"/>
    <w:rsid w:val="007C6DF5"/>
    <w:rsid w:val="007D3FDA"/>
    <w:rsid w:val="007F0FD8"/>
    <w:rsid w:val="00830E59"/>
    <w:rsid w:val="00831255"/>
    <w:rsid w:val="00834272"/>
    <w:rsid w:val="00842840"/>
    <w:rsid w:val="00843ACF"/>
    <w:rsid w:val="00850F4E"/>
    <w:rsid w:val="008609C3"/>
    <w:rsid w:val="0086256F"/>
    <w:rsid w:val="008637EA"/>
    <w:rsid w:val="0087458C"/>
    <w:rsid w:val="00883C6D"/>
    <w:rsid w:val="00886B07"/>
    <w:rsid w:val="008A20F9"/>
    <w:rsid w:val="008B16AC"/>
    <w:rsid w:val="008B709E"/>
    <w:rsid w:val="008B775E"/>
    <w:rsid w:val="008C271D"/>
    <w:rsid w:val="008C2C48"/>
    <w:rsid w:val="008C2E2D"/>
    <w:rsid w:val="008E0F62"/>
    <w:rsid w:val="008F31F1"/>
    <w:rsid w:val="009113A3"/>
    <w:rsid w:val="00911F35"/>
    <w:rsid w:val="00916491"/>
    <w:rsid w:val="00937297"/>
    <w:rsid w:val="0094552E"/>
    <w:rsid w:val="009461D0"/>
    <w:rsid w:val="009515B7"/>
    <w:rsid w:val="00954241"/>
    <w:rsid w:val="009576D0"/>
    <w:rsid w:val="00963542"/>
    <w:rsid w:val="00984E67"/>
    <w:rsid w:val="00992471"/>
    <w:rsid w:val="0099296F"/>
    <w:rsid w:val="009A1AE0"/>
    <w:rsid w:val="009A2B30"/>
    <w:rsid w:val="009A57DA"/>
    <w:rsid w:val="009A7DE2"/>
    <w:rsid w:val="009B2E7D"/>
    <w:rsid w:val="009B7339"/>
    <w:rsid w:val="009B784A"/>
    <w:rsid w:val="009C1414"/>
    <w:rsid w:val="009C7B91"/>
    <w:rsid w:val="009D1548"/>
    <w:rsid w:val="009D1C76"/>
    <w:rsid w:val="00A012A7"/>
    <w:rsid w:val="00A13285"/>
    <w:rsid w:val="00A20252"/>
    <w:rsid w:val="00A31F26"/>
    <w:rsid w:val="00A4709C"/>
    <w:rsid w:val="00A50E79"/>
    <w:rsid w:val="00A6151F"/>
    <w:rsid w:val="00A62298"/>
    <w:rsid w:val="00A661B5"/>
    <w:rsid w:val="00A67A4A"/>
    <w:rsid w:val="00A73FC9"/>
    <w:rsid w:val="00A74D2F"/>
    <w:rsid w:val="00A856AB"/>
    <w:rsid w:val="00A91C56"/>
    <w:rsid w:val="00A93669"/>
    <w:rsid w:val="00AB1F67"/>
    <w:rsid w:val="00AB22F1"/>
    <w:rsid w:val="00AB7A0A"/>
    <w:rsid w:val="00AC34D7"/>
    <w:rsid w:val="00AD7B82"/>
    <w:rsid w:val="00AE262D"/>
    <w:rsid w:val="00AE375F"/>
    <w:rsid w:val="00AE42F9"/>
    <w:rsid w:val="00AE75C0"/>
    <w:rsid w:val="00B010B2"/>
    <w:rsid w:val="00B152E0"/>
    <w:rsid w:val="00B24B08"/>
    <w:rsid w:val="00B55D3C"/>
    <w:rsid w:val="00B55F44"/>
    <w:rsid w:val="00B6029D"/>
    <w:rsid w:val="00B63DAA"/>
    <w:rsid w:val="00B7156F"/>
    <w:rsid w:val="00B85508"/>
    <w:rsid w:val="00B910A6"/>
    <w:rsid w:val="00B94A97"/>
    <w:rsid w:val="00B9770A"/>
    <w:rsid w:val="00BA26E8"/>
    <w:rsid w:val="00BA47D5"/>
    <w:rsid w:val="00BC1311"/>
    <w:rsid w:val="00BC31E9"/>
    <w:rsid w:val="00BC7185"/>
    <w:rsid w:val="00BD3143"/>
    <w:rsid w:val="00C019B5"/>
    <w:rsid w:val="00C02987"/>
    <w:rsid w:val="00C13173"/>
    <w:rsid w:val="00C21CB2"/>
    <w:rsid w:val="00C3198F"/>
    <w:rsid w:val="00C36D6F"/>
    <w:rsid w:val="00C37CB6"/>
    <w:rsid w:val="00C440B2"/>
    <w:rsid w:val="00C4435B"/>
    <w:rsid w:val="00C519FD"/>
    <w:rsid w:val="00C549C5"/>
    <w:rsid w:val="00C56917"/>
    <w:rsid w:val="00C57854"/>
    <w:rsid w:val="00C679D8"/>
    <w:rsid w:val="00C71105"/>
    <w:rsid w:val="00C75764"/>
    <w:rsid w:val="00CB1308"/>
    <w:rsid w:val="00CB300F"/>
    <w:rsid w:val="00CB302F"/>
    <w:rsid w:val="00CB3D7C"/>
    <w:rsid w:val="00CC2143"/>
    <w:rsid w:val="00CC3F60"/>
    <w:rsid w:val="00CC7D19"/>
    <w:rsid w:val="00CD66B8"/>
    <w:rsid w:val="00CF4286"/>
    <w:rsid w:val="00D07935"/>
    <w:rsid w:val="00D217F8"/>
    <w:rsid w:val="00D2302D"/>
    <w:rsid w:val="00D41D1C"/>
    <w:rsid w:val="00D4257D"/>
    <w:rsid w:val="00D54C94"/>
    <w:rsid w:val="00D55F08"/>
    <w:rsid w:val="00D579F9"/>
    <w:rsid w:val="00D64109"/>
    <w:rsid w:val="00D87E94"/>
    <w:rsid w:val="00D90E01"/>
    <w:rsid w:val="00D92EE5"/>
    <w:rsid w:val="00D93857"/>
    <w:rsid w:val="00DB7C45"/>
    <w:rsid w:val="00DC3760"/>
    <w:rsid w:val="00DD1E51"/>
    <w:rsid w:val="00DF6ED3"/>
    <w:rsid w:val="00DF6F48"/>
    <w:rsid w:val="00E00C08"/>
    <w:rsid w:val="00E07DA0"/>
    <w:rsid w:val="00E14B2C"/>
    <w:rsid w:val="00E32814"/>
    <w:rsid w:val="00E47948"/>
    <w:rsid w:val="00E51A6A"/>
    <w:rsid w:val="00E530E7"/>
    <w:rsid w:val="00E536AE"/>
    <w:rsid w:val="00E56927"/>
    <w:rsid w:val="00E64DA9"/>
    <w:rsid w:val="00E772EC"/>
    <w:rsid w:val="00E915EA"/>
    <w:rsid w:val="00E95790"/>
    <w:rsid w:val="00EB13D4"/>
    <w:rsid w:val="00EB2589"/>
    <w:rsid w:val="00EC29A9"/>
    <w:rsid w:val="00ED0C0E"/>
    <w:rsid w:val="00ED2134"/>
    <w:rsid w:val="00ED2E62"/>
    <w:rsid w:val="00EE7B3E"/>
    <w:rsid w:val="00F064F5"/>
    <w:rsid w:val="00F355D6"/>
    <w:rsid w:val="00F43839"/>
    <w:rsid w:val="00F60C41"/>
    <w:rsid w:val="00F62DC1"/>
    <w:rsid w:val="00F7200E"/>
    <w:rsid w:val="00F82A10"/>
    <w:rsid w:val="00F91B13"/>
    <w:rsid w:val="00F93CC3"/>
    <w:rsid w:val="00FA4EF6"/>
    <w:rsid w:val="00FA7C48"/>
    <w:rsid w:val="00FB5A39"/>
    <w:rsid w:val="00FB6FFA"/>
    <w:rsid w:val="00FB7496"/>
    <w:rsid w:val="00FD019E"/>
    <w:rsid w:val="00FE401F"/>
    <w:rsid w:val="00FF73C4"/>
    <w:rsid w:val="020D10D6"/>
    <w:rsid w:val="04AA53EE"/>
    <w:rsid w:val="09701F18"/>
    <w:rsid w:val="0AB8560A"/>
    <w:rsid w:val="0D3374FA"/>
    <w:rsid w:val="10CB1011"/>
    <w:rsid w:val="131566B0"/>
    <w:rsid w:val="13501B19"/>
    <w:rsid w:val="15B62CCF"/>
    <w:rsid w:val="162211BB"/>
    <w:rsid w:val="1BBD4A3D"/>
    <w:rsid w:val="1F3668B5"/>
    <w:rsid w:val="22956741"/>
    <w:rsid w:val="236C2C76"/>
    <w:rsid w:val="2B5930B6"/>
    <w:rsid w:val="2C6C0427"/>
    <w:rsid w:val="2E4E66DE"/>
    <w:rsid w:val="2EA729EB"/>
    <w:rsid w:val="310F7DDC"/>
    <w:rsid w:val="3241096B"/>
    <w:rsid w:val="33081EAC"/>
    <w:rsid w:val="37845A11"/>
    <w:rsid w:val="3909035E"/>
    <w:rsid w:val="3A3649E5"/>
    <w:rsid w:val="3A923B1A"/>
    <w:rsid w:val="3BC9008D"/>
    <w:rsid w:val="3D2E1A16"/>
    <w:rsid w:val="3D5A790F"/>
    <w:rsid w:val="41A17741"/>
    <w:rsid w:val="435B4258"/>
    <w:rsid w:val="44E2235D"/>
    <w:rsid w:val="456A37E3"/>
    <w:rsid w:val="46724F21"/>
    <w:rsid w:val="4AA469F1"/>
    <w:rsid w:val="4BB47A75"/>
    <w:rsid w:val="4D6C318B"/>
    <w:rsid w:val="4DE855C9"/>
    <w:rsid w:val="508323E7"/>
    <w:rsid w:val="55825772"/>
    <w:rsid w:val="586A3DF4"/>
    <w:rsid w:val="58CD1493"/>
    <w:rsid w:val="58ED27A2"/>
    <w:rsid w:val="5A5A0822"/>
    <w:rsid w:val="5AF70CA1"/>
    <w:rsid w:val="5B0723B5"/>
    <w:rsid w:val="5B914CEC"/>
    <w:rsid w:val="5DF33758"/>
    <w:rsid w:val="5F097B39"/>
    <w:rsid w:val="67151E7C"/>
    <w:rsid w:val="69AD39A7"/>
    <w:rsid w:val="6E922C7B"/>
    <w:rsid w:val="70912C4C"/>
    <w:rsid w:val="72B26FFE"/>
    <w:rsid w:val="79F4026A"/>
    <w:rsid w:val="7A3A3830"/>
    <w:rsid w:val="7A5C6F26"/>
    <w:rsid w:val="7C6153C7"/>
    <w:rsid w:val="7CA52C2F"/>
    <w:rsid w:val="7E681412"/>
    <w:rsid w:val="7EE86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semiHidden="0" w:unhideWhenUsed="0" w:qFormat="1"/>
    <w:lsdException w:name="Normal (Web)" w:uiPriority="0" w:qFormat="1"/>
    <w:lsdException w:name="Normal Table" w:qFormat="1"/>
    <w:lsdException w:name="No List"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604C8A"/>
    <w:rPr>
      <w:rFonts w:ascii="宋体" w:eastAsia="宋体" w:hAnsi="Courier New" w:cs="Courier New"/>
      <w:szCs w:val="21"/>
    </w:rPr>
  </w:style>
  <w:style w:type="paragraph" w:styleId="a4">
    <w:name w:val="footer"/>
    <w:basedOn w:val="a"/>
    <w:link w:val="Char0"/>
    <w:unhideWhenUsed/>
    <w:qFormat/>
    <w:rsid w:val="00604C8A"/>
    <w:pPr>
      <w:tabs>
        <w:tab w:val="center" w:pos="4153"/>
        <w:tab w:val="right" w:pos="8306"/>
      </w:tabs>
      <w:snapToGrid w:val="0"/>
      <w:jc w:val="left"/>
    </w:pPr>
    <w:rPr>
      <w:sz w:val="18"/>
      <w:szCs w:val="18"/>
    </w:rPr>
  </w:style>
  <w:style w:type="paragraph" w:styleId="a5">
    <w:name w:val="header"/>
    <w:basedOn w:val="a"/>
    <w:link w:val="Char1"/>
    <w:unhideWhenUsed/>
    <w:qFormat/>
    <w:rsid w:val="00604C8A"/>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sid w:val="00604C8A"/>
    <w:rPr>
      <w:i/>
      <w:iCs/>
    </w:rPr>
  </w:style>
  <w:style w:type="character" w:customStyle="1" w:styleId="Char1">
    <w:name w:val="页眉 Char"/>
    <w:basedOn w:val="a0"/>
    <w:link w:val="a5"/>
    <w:qFormat/>
    <w:rsid w:val="00604C8A"/>
    <w:rPr>
      <w:sz w:val="18"/>
      <w:szCs w:val="18"/>
    </w:rPr>
  </w:style>
  <w:style w:type="character" w:customStyle="1" w:styleId="Char0">
    <w:name w:val="页脚 Char"/>
    <w:basedOn w:val="a0"/>
    <w:link w:val="a4"/>
    <w:uiPriority w:val="99"/>
    <w:qFormat/>
    <w:rsid w:val="00604C8A"/>
    <w:rPr>
      <w:sz w:val="18"/>
      <w:szCs w:val="18"/>
    </w:rPr>
  </w:style>
  <w:style w:type="character" w:customStyle="1" w:styleId="Char">
    <w:name w:val="纯文本 Char"/>
    <w:basedOn w:val="a0"/>
    <w:link w:val="a3"/>
    <w:uiPriority w:val="99"/>
    <w:qFormat/>
    <w:rsid w:val="00604C8A"/>
    <w:rPr>
      <w:rFonts w:ascii="宋体" w:eastAsia="宋体" w:hAnsi="Courier New" w:cs="Courier New"/>
      <w:szCs w:val="21"/>
    </w:rPr>
  </w:style>
  <w:style w:type="character" w:customStyle="1" w:styleId="fontstyle01">
    <w:name w:val="fontstyle01"/>
    <w:basedOn w:val="a0"/>
    <w:qFormat/>
    <w:rsid w:val="00604C8A"/>
    <w:rPr>
      <w:rFonts w:ascii="仿宋_GB2312" w:eastAsia="仿宋_GB2312" w:hint="eastAsia"/>
      <w:color w:val="000000"/>
      <w:sz w:val="32"/>
      <w:szCs w:val="32"/>
    </w:rPr>
  </w:style>
  <w:style w:type="paragraph" w:styleId="a7">
    <w:name w:val="Balloon Text"/>
    <w:basedOn w:val="a"/>
    <w:link w:val="Char2"/>
    <w:uiPriority w:val="99"/>
    <w:semiHidden/>
    <w:unhideWhenUsed/>
    <w:rsid w:val="00BC1311"/>
    <w:rPr>
      <w:sz w:val="18"/>
      <w:szCs w:val="18"/>
    </w:rPr>
  </w:style>
  <w:style w:type="character" w:customStyle="1" w:styleId="Char2">
    <w:name w:val="批注框文本 Char"/>
    <w:basedOn w:val="a0"/>
    <w:link w:val="a7"/>
    <w:uiPriority w:val="99"/>
    <w:semiHidden/>
    <w:rsid w:val="00BC1311"/>
    <w:rPr>
      <w:kern w:val="2"/>
      <w:sz w:val="18"/>
      <w:szCs w:val="18"/>
    </w:rPr>
  </w:style>
  <w:style w:type="paragraph" w:styleId="a8">
    <w:name w:val="Normal (Web)"/>
    <w:basedOn w:val="a"/>
    <w:unhideWhenUsed/>
    <w:qFormat/>
    <w:rsid w:val="001C5E29"/>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B24B0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B24B08"/>
  </w:style>
  <w:style w:type="character" w:styleId="ab">
    <w:name w:val="Hyperlink"/>
    <w:basedOn w:val="a0"/>
    <w:qFormat/>
    <w:rsid w:val="00C75764"/>
    <w:rPr>
      <w:color w:val="0000FF"/>
      <w:u w:val="single"/>
    </w:rPr>
  </w:style>
  <w:style w:type="paragraph" w:styleId="ac">
    <w:name w:val="Date"/>
    <w:basedOn w:val="a"/>
    <w:next w:val="a"/>
    <w:link w:val="Char3"/>
    <w:uiPriority w:val="99"/>
    <w:semiHidden/>
    <w:unhideWhenUsed/>
    <w:rsid w:val="00C75764"/>
    <w:pPr>
      <w:ind w:leftChars="2500" w:left="100"/>
    </w:pPr>
  </w:style>
  <w:style w:type="character" w:customStyle="1" w:styleId="Char3">
    <w:name w:val="日期 Char"/>
    <w:basedOn w:val="a0"/>
    <w:link w:val="ac"/>
    <w:uiPriority w:val="99"/>
    <w:semiHidden/>
    <w:rsid w:val="00C7576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i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纯文本 Char"/>
    <w:basedOn w:val="a0"/>
    <w:link w:val="a3"/>
    <w:uiPriority w:val="99"/>
    <w:qFormat/>
    <w:rPr>
      <w:rFonts w:ascii="宋体" w:eastAsia="宋体" w:hAnsi="Courier New" w:cs="Courier New"/>
      <w:szCs w:val="21"/>
    </w:rPr>
  </w:style>
  <w:style w:type="character" w:customStyle="1" w:styleId="fontstyle01">
    <w:name w:val="fontstyle01"/>
    <w:basedOn w:val="a0"/>
    <w:qFormat/>
    <w:rPr>
      <w:rFonts w:ascii="仿宋_GB2312" w:eastAsia="仿宋_GB2312" w:hint="eastAsia"/>
      <w:color w:val="000000"/>
      <w:sz w:val="32"/>
      <w:szCs w:val="32"/>
    </w:rPr>
  </w:style>
  <w:style w:type="paragraph" w:styleId="a7">
    <w:name w:val="Balloon Text"/>
    <w:basedOn w:val="a"/>
    <w:link w:val="Char2"/>
    <w:uiPriority w:val="99"/>
    <w:semiHidden/>
    <w:unhideWhenUsed/>
    <w:rsid w:val="00BC1311"/>
    <w:rPr>
      <w:sz w:val="18"/>
      <w:szCs w:val="18"/>
    </w:rPr>
  </w:style>
  <w:style w:type="character" w:customStyle="1" w:styleId="Char2">
    <w:name w:val="批注框文本 Char"/>
    <w:basedOn w:val="a0"/>
    <w:link w:val="a7"/>
    <w:uiPriority w:val="99"/>
    <w:semiHidden/>
    <w:rsid w:val="00BC1311"/>
    <w:rPr>
      <w:kern w:val="2"/>
      <w:sz w:val="18"/>
      <w:szCs w:val="18"/>
    </w:rPr>
  </w:style>
  <w:style w:type="paragraph" w:styleId="a8">
    <w:name w:val="Normal (Web)"/>
    <w:basedOn w:val="a"/>
    <w:uiPriority w:val="99"/>
    <w:semiHidden/>
    <w:unhideWhenUsed/>
    <w:rsid w:val="001C5E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119174">
      <w:bodyDiv w:val="1"/>
      <w:marLeft w:val="0"/>
      <w:marRight w:val="0"/>
      <w:marTop w:val="0"/>
      <w:marBottom w:val="0"/>
      <w:divBdr>
        <w:top w:val="none" w:sz="0" w:space="0" w:color="auto"/>
        <w:left w:val="none" w:sz="0" w:space="0" w:color="auto"/>
        <w:bottom w:val="none" w:sz="0" w:space="0" w:color="auto"/>
        <w:right w:val="none" w:sz="0" w:space="0" w:color="auto"/>
      </w:divBdr>
    </w:div>
    <w:div w:id="64650209">
      <w:bodyDiv w:val="1"/>
      <w:marLeft w:val="0"/>
      <w:marRight w:val="0"/>
      <w:marTop w:val="0"/>
      <w:marBottom w:val="0"/>
      <w:divBdr>
        <w:top w:val="none" w:sz="0" w:space="0" w:color="auto"/>
        <w:left w:val="none" w:sz="0" w:space="0" w:color="auto"/>
        <w:bottom w:val="none" w:sz="0" w:space="0" w:color="auto"/>
        <w:right w:val="none" w:sz="0" w:space="0" w:color="auto"/>
      </w:divBdr>
    </w:div>
    <w:div w:id="150216544">
      <w:bodyDiv w:val="1"/>
      <w:marLeft w:val="0"/>
      <w:marRight w:val="0"/>
      <w:marTop w:val="0"/>
      <w:marBottom w:val="0"/>
      <w:divBdr>
        <w:top w:val="none" w:sz="0" w:space="0" w:color="auto"/>
        <w:left w:val="none" w:sz="0" w:space="0" w:color="auto"/>
        <w:bottom w:val="none" w:sz="0" w:space="0" w:color="auto"/>
        <w:right w:val="none" w:sz="0" w:space="0" w:color="auto"/>
      </w:divBdr>
    </w:div>
    <w:div w:id="1142306263">
      <w:bodyDiv w:val="1"/>
      <w:marLeft w:val="0"/>
      <w:marRight w:val="0"/>
      <w:marTop w:val="0"/>
      <w:marBottom w:val="0"/>
      <w:divBdr>
        <w:top w:val="none" w:sz="0" w:space="0" w:color="auto"/>
        <w:left w:val="none" w:sz="0" w:space="0" w:color="auto"/>
        <w:bottom w:val="none" w:sz="0" w:space="0" w:color="auto"/>
        <w:right w:val="none" w:sz="0" w:space="0" w:color="auto"/>
      </w:divBdr>
    </w:div>
    <w:div w:id="1213075761">
      <w:bodyDiv w:val="1"/>
      <w:marLeft w:val="0"/>
      <w:marRight w:val="0"/>
      <w:marTop w:val="0"/>
      <w:marBottom w:val="0"/>
      <w:divBdr>
        <w:top w:val="none" w:sz="0" w:space="0" w:color="auto"/>
        <w:left w:val="none" w:sz="0" w:space="0" w:color="auto"/>
        <w:bottom w:val="none" w:sz="0" w:space="0" w:color="auto"/>
        <w:right w:val="none" w:sz="0" w:space="0" w:color="auto"/>
      </w:divBdr>
    </w:div>
    <w:div w:id="1397775433">
      <w:bodyDiv w:val="1"/>
      <w:marLeft w:val="0"/>
      <w:marRight w:val="0"/>
      <w:marTop w:val="0"/>
      <w:marBottom w:val="0"/>
      <w:divBdr>
        <w:top w:val="none" w:sz="0" w:space="0" w:color="auto"/>
        <w:left w:val="none" w:sz="0" w:space="0" w:color="auto"/>
        <w:bottom w:val="none" w:sz="0" w:space="0" w:color="auto"/>
        <w:right w:val="none" w:sz="0" w:space="0" w:color="auto"/>
      </w:divBdr>
    </w:div>
    <w:div w:id="1623800658">
      <w:bodyDiv w:val="1"/>
      <w:marLeft w:val="0"/>
      <w:marRight w:val="0"/>
      <w:marTop w:val="0"/>
      <w:marBottom w:val="0"/>
      <w:divBdr>
        <w:top w:val="none" w:sz="0" w:space="0" w:color="auto"/>
        <w:left w:val="none" w:sz="0" w:space="0" w:color="auto"/>
        <w:bottom w:val="none" w:sz="0" w:space="0" w:color="auto"/>
        <w:right w:val="none" w:sz="0" w:space="0" w:color="auto"/>
      </w:divBdr>
    </w:div>
    <w:div w:id="1656032691">
      <w:bodyDiv w:val="1"/>
      <w:marLeft w:val="0"/>
      <w:marRight w:val="0"/>
      <w:marTop w:val="0"/>
      <w:marBottom w:val="0"/>
      <w:divBdr>
        <w:top w:val="none" w:sz="0" w:space="0" w:color="auto"/>
        <w:left w:val="none" w:sz="0" w:space="0" w:color="auto"/>
        <w:bottom w:val="none" w:sz="0" w:space="0" w:color="auto"/>
        <w:right w:val="none" w:sz="0" w:space="0" w:color="auto"/>
      </w:divBdr>
    </w:div>
    <w:div w:id="1854221519">
      <w:bodyDiv w:val="1"/>
      <w:marLeft w:val="0"/>
      <w:marRight w:val="0"/>
      <w:marTop w:val="0"/>
      <w:marBottom w:val="0"/>
      <w:divBdr>
        <w:top w:val="none" w:sz="0" w:space="0" w:color="auto"/>
        <w:left w:val="none" w:sz="0" w:space="0" w:color="auto"/>
        <w:bottom w:val="none" w:sz="0" w:space="0" w:color="auto"/>
        <w:right w:val="none" w:sz="0" w:space="0" w:color="auto"/>
      </w:divBdr>
    </w:div>
    <w:div w:id="1981837718">
      <w:bodyDiv w:val="1"/>
      <w:marLeft w:val="0"/>
      <w:marRight w:val="0"/>
      <w:marTop w:val="0"/>
      <w:marBottom w:val="0"/>
      <w:divBdr>
        <w:top w:val="none" w:sz="0" w:space="0" w:color="auto"/>
        <w:left w:val="none" w:sz="0" w:space="0" w:color="auto"/>
        <w:bottom w:val="none" w:sz="0" w:space="0" w:color="auto"/>
        <w:right w:val="none" w:sz="0" w:space="0" w:color="auto"/>
      </w:divBdr>
    </w:div>
    <w:div w:id="2012100145">
      <w:bodyDiv w:val="1"/>
      <w:marLeft w:val="0"/>
      <w:marRight w:val="0"/>
      <w:marTop w:val="0"/>
      <w:marBottom w:val="0"/>
      <w:divBdr>
        <w:top w:val="none" w:sz="0" w:space="0" w:color="auto"/>
        <w:left w:val="none" w:sz="0" w:space="0" w:color="auto"/>
        <w:bottom w:val="none" w:sz="0" w:space="0" w:color="auto"/>
        <w:right w:val="none" w:sz="0" w:space="0" w:color="auto"/>
      </w:divBdr>
    </w:div>
    <w:div w:id="2030450577">
      <w:bodyDiv w:val="1"/>
      <w:marLeft w:val="0"/>
      <w:marRight w:val="0"/>
      <w:marTop w:val="0"/>
      <w:marBottom w:val="0"/>
      <w:divBdr>
        <w:top w:val="none" w:sz="0" w:space="0" w:color="auto"/>
        <w:left w:val="none" w:sz="0" w:space="0" w:color="auto"/>
        <w:bottom w:val="none" w:sz="0" w:space="0" w:color="auto"/>
        <w:right w:val="none" w:sz="0" w:space="0" w:color="auto"/>
      </w:divBdr>
    </w:div>
    <w:div w:id="205792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6C78AF-CC72-48C6-952A-DF4977E5678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358</Words>
  <Characters>2043</Characters>
  <Application>Microsoft Office Word</Application>
  <DocSecurity>0</DocSecurity>
  <Lines>17</Lines>
  <Paragraphs>4</Paragraphs>
  <ScaleCrop>false</ScaleCrop>
  <Company>微软中国</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政研中心-张志清</dc:creator>
  <cp:lastModifiedBy>Windows User</cp:lastModifiedBy>
  <cp:revision>3</cp:revision>
  <cp:lastPrinted>2020-06-09T04:26:00Z</cp:lastPrinted>
  <dcterms:created xsi:type="dcterms:W3CDTF">2021-11-23T02:21:00Z</dcterms:created>
  <dcterms:modified xsi:type="dcterms:W3CDTF">2021-11-23T02:23:00Z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